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21B007C0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3C333E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7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22</w:t>
      </w:r>
      <w:r w:rsidR="00F60AA3"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  <w:t>4429</w:t>
      </w:r>
    </w:p>
    <w:p w14:paraId="4BF14776" w14:textId="14049783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15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24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Aug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9952BEE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46CF9D33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F954B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Inter-donor full migration </w:t>
      </w:r>
      <w:r w:rsidR="00E0635A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procedure </w:t>
      </w:r>
      <w:r w:rsidR="00F954B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of mobile IAB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3C20A5A2" w14:textId="06F57E8F" w:rsidR="00FD491E" w:rsidRDefault="001139CF" w:rsidP="00FD491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</w:t>
      </w:r>
      <w:r w:rsidR="00700A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has been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>approved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>to be discussed in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Rel-</w:t>
      </w:r>
      <w:proofErr w:type="gramStart"/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>18, and</w:t>
      </w:r>
      <w:proofErr w:type="gramEnd"/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 xml:space="preserve">detail 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objectives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>are identified mainly focus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FD491E" w14:paraId="6682D8EA" w14:textId="77777777" w:rsidTr="00E51E85">
        <w:trPr>
          <w:trHeight w:val="1747"/>
        </w:trPr>
        <w:tc>
          <w:tcPr>
            <w:tcW w:w="9704" w:type="dxa"/>
          </w:tcPr>
          <w:p w14:paraId="3210F3E9" w14:textId="77777777" w:rsidR="001139CF" w:rsidRPr="001139CF" w:rsidRDefault="001139CF" w:rsidP="001139CF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</w:pPr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4F6A0125" w14:textId="77777777" w:rsidR="001139CF" w:rsidRPr="001139CF" w:rsidRDefault="001139CF" w:rsidP="001139CF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</w:pPr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 xml:space="preserve">Enhancements for mobility of an IAB-node together with </w:t>
            </w:r>
            <w:proofErr w:type="gramStart"/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its</w:t>
            </w:r>
            <w:proofErr w:type="gramEnd"/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30BAB791" w14:textId="77777777" w:rsidR="001139CF" w:rsidRPr="001139CF" w:rsidRDefault="001139CF" w:rsidP="001139CF">
            <w:pPr>
              <w:widowControl/>
              <w:spacing w:before="60" w:after="60"/>
              <w:ind w:left="720"/>
              <w:rPr>
                <w:rFonts w:ascii="Calibri" w:eastAsia="Times New Roman" w:hAnsi="Calibri" w:cs="Times New Roman"/>
                <w:i/>
                <w:iCs/>
                <w:kern w:val="0"/>
                <w:sz w:val="22"/>
                <w:lang w:eastAsia="en-US"/>
              </w:rPr>
            </w:pPr>
            <w:r w:rsidRPr="001139CF">
              <w:rPr>
                <w:rFonts w:ascii="Calibri" w:eastAsia="Times New Roman" w:hAnsi="Calibri" w:cs="Times New Roman"/>
                <w:i/>
                <w:iCs/>
                <w:kern w:val="0"/>
                <w:sz w:val="22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42689C4E" w14:textId="77777777" w:rsidR="001139CF" w:rsidRDefault="001139CF" w:rsidP="00CE123B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</w:pPr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e.g.</w:t>
            </w:r>
            <w:proofErr w:type="gramEnd"/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 xml:space="preserve"> PCI, RACH). [RAN3, RAN2]</w:t>
            </w:r>
          </w:p>
          <w:p w14:paraId="2454DBD9" w14:textId="6F5495A1" w:rsidR="00EF5733" w:rsidRPr="001139CF" w:rsidRDefault="00EF5733" w:rsidP="00EF5733">
            <w:pPr>
              <w:widowControl/>
              <w:overflowPunct w:val="0"/>
              <w:autoSpaceDE w:val="0"/>
              <w:autoSpaceDN w:val="0"/>
              <w:adjustRightInd w:val="0"/>
              <w:spacing w:before="60" w:after="60"/>
              <w:ind w:left="360"/>
              <w:jc w:val="left"/>
              <w:textAlignment w:val="baseline"/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</w:pPr>
            <w:r w:rsidRPr="00EF5733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Note: At the beginning of the work period, RAN3, RAN2 should discuss the potential complexity of a scenario where a mobile IAB node connects to a stationary (intermediate) IAB node, with respect to the scenario where a mobile IAB node connects directly to an IAB-donor.</w:t>
            </w:r>
          </w:p>
        </w:tc>
      </w:tr>
    </w:tbl>
    <w:p w14:paraId="766404C1" w14:textId="26158D6D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0C1990">
        <w:rPr>
          <w:rFonts w:ascii="Times New Roman" w:eastAsia="宋体" w:hAnsi="Times New Roman" w:cs="Times New Roman"/>
          <w:kern w:val="0"/>
          <w:sz w:val="20"/>
          <w:szCs w:val="20"/>
        </w:rPr>
        <w:t>general procedure for IAB inter-donor full migration is firstly analyzed and some potential issue</w:t>
      </w:r>
      <w:r w:rsidR="00D90CB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0C1990"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the </w:t>
      </w:r>
      <w:r w:rsidR="00D90CB3">
        <w:rPr>
          <w:rFonts w:ascii="Times New Roman" w:eastAsia="宋体" w:hAnsi="Times New Roman" w:cs="Times New Roman"/>
          <w:kern w:val="0"/>
          <w:sz w:val="20"/>
          <w:szCs w:val="20"/>
        </w:rPr>
        <w:t>migration are further discussed.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40DE2058" w14:textId="03BA4A73" w:rsidR="00D90CB3" w:rsidRPr="004139B5" w:rsidRDefault="00D90CB3" w:rsidP="00976AEE">
      <w:pPr>
        <w:widowControl/>
        <w:overflowPunct w:val="0"/>
        <w:autoSpaceDE w:val="0"/>
        <w:autoSpaceDN w:val="0"/>
        <w:adjustRightInd w:val="0"/>
        <w:spacing w:beforeLines="100" w:before="24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IAB inter-donor full migration</w:t>
      </w:r>
      <w:r w:rsidR="00824193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 xml:space="preserve"> procedure</w:t>
      </w:r>
    </w:p>
    <w:p w14:paraId="4C91040A" w14:textId="3AC66D0E" w:rsidR="00D90CB3" w:rsidRDefault="00D90CB3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R17, </w:t>
      </w:r>
      <w:r w:rsidR="00B75A59">
        <w:rPr>
          <w:rFonts w:ascii="Times New Roman" w:eastAsia="宋体" w:hAnsi="Times New Roman" w:cs="Times New Roman"/>
          <w:kern w:val="0"/>
          <w:sz w:val="20"/>
          <w:szCs w:val="20"/>
        </w:rPr>
        <w:t xml:space="preserve">partial migration procedure for IAB inter-donor topology adaptation was already defined, where </w:t>
      </w:r>
      <w:r w:rsidR="00B75A59" w:rsidRPr="00B75A59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="00B75A5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75A59" w:rsidRPr="00B75A59">
        <w:rPr>
          <w:rFonts w:ascii="Times New Roman" w:eastAsia="宋体" w:hAnsi="Times New Roman" w:cs="Times New Roman"/>
          <w:kern w:val="0"/>
          <w:sz w:val="20"/>
          <w:szCs w:val="20"/>
        </w:rPr>
        <w:t>IAB-MT is migrated from a source IAB-donor-CU to a target IAB-donor-CU</w:t>
      </w:r>
      <w:r w:rsidR="00B75A5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B75A59">
        <w:rPr>
          <w:rFonts w:ascii="Times New Roman" w:eastAsia="宋体" w:hAnsi="Times New Roman" w:cs="Times New Roman"/>
          <w:kern w:val="0"/>
          <w:sz w:val="20"/>
          <w:szCs w:val="20"/>
        </w:rPr>
        <w:t xml:space="preserve">while </w:t>
      </w:r>
      <w:r w:rsidR="00B75A59" w:rsidRPr="00B75A59">
        <w:rPr>
          <w:rFonts w:ascii="Times New Roman" w:eastAsia="宋体" w:hAnsi="Times New Roman" w:cs="Times New Roman"/>
          <w:kern w:val="0"/>
          <w:sz w:val="20"/>
          <w:szCs w:val="20"/>
        </w:rPr>
        <w:t>its IAB-DU retains F1AP with the source IAB-donor-CU</w:t>
      </w:r>
      <w:r w:rsidR="00B75A59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6F70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1CC66E81" w14:textId="0D43389B" w:rsidR="00E561D4" w:rsidRDefault="00E561D4" w:rsidP="00E561D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nd based on the discussion in R17, </w:t>
      </w:r>
      <w:r w:rsidRPr="00E561D4">
        <w:rPr>
          <w:rFonts w:ascii="Times New Roman" w:eastAsia="宋体" w:hAnsi="Times New Roman" w:cs="Times New Roman"/>
          <w:kern w:val="0"/>
          <w:sz w:val="20"/>
          <w:szCs w:val="20"/>
        </w:rPr>
        <w:t>two logical IAB-DUs at the boundary IAB node are to be further discussed in the scope of Full Migration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where following </w:t>
      </w:r>
      <w:r w:rsidRPr="00E561D4">
        <w:rPr>
          <w:rFonts w:ascii="Times New Roman" w:eastAsia="宋体" w:hAnsi="Times New Roman" w:cs="Times New Roman"/>
          <w:kern w:val="0"/>
          <w:sz w:val="20"/>
          <w:szCs w:val="20"/>
        </w:rPr>
        <w:t>two implementation alternatives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applied</w:t>
      </w:r>
      <w:r w:rsidR="00BB45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[2]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 Further based on the inputs from RAN1/RAN2 and RAN4, Alt.1 can work well and has fewer standards impacts.</w:t>
      </w:r>
    </w:p>
    <w:p w14:paraId="3489EC34" w14:textId="508F1932" w:rsidR="00E561D4" w:rsidRPr="00E561D4" w:rsidRDefault="00E561D4" w:rsidP="00E561D4">
      <w:pPr>
        <w:pStyle w:val="ac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561D4">
        <w:rPr>
          <w:rFonts w:ascii="Times New Roman" w:eastAsia="宋体" w:hAnsi="Times New Roman" w:cs="Times New Roman"/>
          <w:kern w:val="0"/>
          <w:sz w:val="20"/>
          <w:szCs w:val="20"/>
        </w:rPr>
        <w:t>Alt1: the two logical DUs use separate physical cell resources</w:t>
      </w:r>
    </w:p>
    <w:p w14:paraId="3C91B327" w14:textId="6CA0C791" w:rsidR="00D90CB3" w:rsidRPr="00E561D4" w:rsidRDefault="00E561D4" w:rsidP="00E561D4">
      <w:pPr>
        <w:pStyle w:val="ac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561D4">
        <w:rPr>
          <w:rFonts w:ascii="Times New Roman" w:eastAsia="宋体" w:hAnsi="Times New Roman" w:cs="Times New Roman"/>
          <w:kern w:val="0"/>
          <w:sz w:val="20"/>
          <w:szCs w:val="20"/>
        </w:rPr>
        <w:t>Alt2: the two logical DUs use the same physical cell resources</w:t>
      </w:r>
    </w:p>
    <w:p w14:paraId="5877D847" w14:textId="3AE0D738" w:rsidR="00EF5733" w:rsidRDefault="007B334A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mobile IAB-node, </w:t>
      </w:r>
      <w:r w:rsidR="00FF6D0C"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logical IAB-DUs can be applied during the full migration where the second logical IAB-DU can setup F1 interface with target IAB-donor-CU </w:t>
      </w:r>
      <w:proofErr w:type="gramStart"/>
      <w:r w:rsidR="00FF6D0C">
        <w:rPr>
          <w:rFonts w:ascii="Times New Roman" w:eastAsia="宋体" w:hAnsi="Times New Roman" w:cs="Times New Roman"/>
          <w:kern w:val="0"/>
          <w:sz w:val="20"/>
          <w:szCs w:val="20"/>
        </w:rPr>
        <w:t xml:space="preserve">at the same time </w:t>
      </w:r>
      <w:r w:rsidR="00AF6E22">
        <w:rPr>
          <w:rFonts w:ascii="Times New Roman" w:eastAsia="宋体" w:hAnsi="Times New Roman" w:cs="Times New Roman"/>
          <w:kern w:val="0"/>
          <w:sz w:val="20"/>
          <w:szCs w:val="20"/>
        </w:rPr>
        <w:t>that</w:t>
      </w:r>
      <w:proofErr w:type="gramEnd"/>
      <w:r w:rsidR="00AF6E2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F6D0C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first IAB-DU still has the F1 connection with the source IAB-donor-CU. Based on the assumption of two logical IAB-DUs in mobile IAB-node, two </w:t>
      </w:r>
      <w:r w:rsidR="00D535EE">
        <w:rPr>
          <w:rFonts w:ascii="Times New Roman" w:eastAsia="宋体" w:hAnsi="Times New Roman" w:cs="Times New Roman"/>
          <w:kern w:val="0"/>
          <w:sz w:val="20"/>
          <w:szCs w:val="20"/>
        </w:rPr>
        <w:t>potential full migration procedure are proposed as follow.</w:t>
      </w:r>
    </w:p>
    <w:p w14:paraId="3141527F" w14:textId="320695B9" w:rsidR="00976AEE" w:rsidRDefault="00976AEE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41AAADE7" w14:textId="77777777" w:rsidR="00976AEE" w:rsidRPr="00976AEE" w:rsidRDefault="00976AEE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6F776D3E" w14:textId="08B11255" w:rsidR="00D535EE" w:rsidRPr="00D535EE" w:rsidRDefault="00D535EE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535E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F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ull migration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ption 1:</w:t>
      </w:r>
    </w:p>
    <w:p w14:paraId="78F63CDB" w14:textId="7926257E" w:rsidR="00F7729A" w:rsidRDefault="00F7729A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Figure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shows an example 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mobile IAB-node full migration</w:t>
      </w:r>
      <w:r w:rsidR="00AF6E22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where the mobile IAB-node is migrated from a source IAB-donor-CU1 to a target IAB-donor-CU2. In this procedure, the IAB-MT is firstly migrated to the target IAB-donor-CU2 and IAB-DU2 setup</w:t>
      </w:r>
      <w:r w:rsidR="002C75FC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F1 interface with the target IAB-donor-CU2 via the target path.</w:t>
      </w:r>
    </w:p>
    <w:p w14:paraId="38BE8800" w14:textId="15486E1D" w:rsidR="00844F67" w:rsidRDefault="001A0986" w:rsidP="00AA765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10280" w:dyaOrig="5940" w14:anchorId="35548E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272pt" o:ole="">
            <v:imagedata r:id="rId7" o:title=""/>
          </v:shape>
          <o:OLEObject Type="Embed" ProgID="Visio.Drawing.15" ShapeID="_x0000_i1025" DrawAspect="Content" ObjectID="_1721544487" r:id="rId8"/>
        </w:object>
      </w:r>
    </w:p>
    <w:p w14:paraId="3577A127" w14:textId="426D5317" w:rsidR="00AA7657" w:rsidRPr="00AA7657" w:rsidRDefault="00AA7657" w:rsidP="00AA765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1. </w:t>
      </w:r>
      <w:r>
        <w:rPr>
          <w:rFonts w:ascii="Times New Roman" w:hAnsi="Times New Roman" w:cs="Times New Roman"/>
          <w:sz w:val="20"/>
          <w:szCs w:val="20"/>
        </w:rPr>
        <w:t>An e</w:t>
      </w:r>
      <w:r w:rsidRPr="001C3355">
        <w:rPr>
          <w:rFonts w:ascii="Times New Roman" w:hAnsi="Times New Roman" w:cs="Times New Roman"/>
          <w:sz w:val="20"/>
          <w:szCs w:val="20"/>
        </w:rPr>
        <w:t xml:space="preserve">xample </w:t>
      </w:r>
      <w:r w:rsidR="00A259FE">
        <w:rPr>
          <w:rFonts w:ascii="Times New Roman" w:hAnsi="Times New Roman" w:cs="Times New Roman"/>
          <w:sz w:val="20"/>
          <w:szCs w:val="20"/>
        </w:rPr>
        <w:t>procedure</w:t>
      </w:r>
      <w:r w:rsidR="00A259FE" w:rsidRPr="001C3355">
        <w:rPr>
          <w:rFonts w:ascii="Times New Roman" w:hAnsi="Times New Roman" w:cs="Times New Roman"/>
          <w:sz w:val="20"/>
          <w:szCs w:val="20"/>
        </w:rPr>
        <w:t xml:space="preserve"> </w:t>
      </w:r>
      <w:r w:rsidRPr="001C3355">
        <w:rPr>
          <w:rFonts w:ascii="Times New Roman" w:hAnsi="Times New Roman" w:cs="Times New Roman"/>
          <w:sz w:val="20"/>
          <w:szCs w:val="20"/>
        </w:rPr>
        <w:t>of inter-donor</w:t>
      </w:r>
      <w:r>
        <w:rPr>
          <w:rFonts w:ascii="Times New Roman" w:hAnsi="Times New Roman" w:cs="Times New Roman"/>
          <w:sz w:val="20"/>
          <w:szCs w:val="20"/>
        </w:rPr>
        <w:t xml:space="preserve"> full migration (</w:t>
      </w:r>
      <w:r w:rsidR="00D535EE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ption 1)</w:t>
      </w:r>
    </w:p>
    <w:p w14:paraId="45D71CE7" w14:textId="47793D52" w:rsidR="00AA7657" w:rsidRP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Step 1: HO preparation for IAB-MT is performed between source IAB-donor-CU1 and target IAB-donor-CU2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IAB-donor-CU1 sends the </w:t>
      </w:r>
      <w:proofErr w:type="spellStart"/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RRC</w:t>
      </w:r>
      <w:r w:rsidR="002C75FC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econfiguration</w:t>
      </w:r>
      <w:proofErr w:type="spellEnd"/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HO to IAB-MT.</w:t>
      </w:r>
    </w:p>
    <w:p w14:paraId="687CB43D" w14:textId="76B8A3FD" w:rsid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Step 2: IAB-MT performs random access procedure at the target 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>IAB-donor-DU2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(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 xml:space="preserve">if mobile IAB-node can </w:t>
      </w:r>
      <w:r w:rsidR="00F4507C" w:rsidRPr="00F4507C">
        <w:rPr>
          <w:rFonts w:ascii="Times New Roman" w:eastAsia="宋体" w:hAnsi="Times New Roman" w:cs="Times New Roman"/>
          <w:kern w:val="0"/>
          <w:sz w:val="20"/>
          <w:szCs w:val="20"/>
        </w:rPr>
        <w:t>connect to a stationary intermediate IAB-node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>, IAB-MT perform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random access at the target parent IAB-node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) and migrates to the 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9D6D47F" w14:textId="11325805" w:rsidR="00C5442C" w:rsidRPr="00AA7657" w:rsidRDefault="00C5442C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After step 2, the F1 interface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IAB-DU1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the RRC connection for served UE </w:t>
      </w:r>
      <w:r w:rsidR="002C75FC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migrat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target path as defined in R17</w:t>
      </w:r>
      <w:r w:rsidR="002C75FC">
        <w:rPr>
          <w:rFonts w:ascii="Times New Roman" w:eastAsia="宋体" w:hAnsi="Times New Roman" w:cs="Times New Roman"/>
          <w:kern w:val="0"/>
          <w:sz w:val="20"/>
          <w:szCs w:val="20"/>
        </w:rPr>
        <w:t xml:space="preserve"> (partial migration)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31B7EB3" w14:textId="5CF0A1E9" w:rsidR="00AA7657" w:rsidRP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Step 3: F1 interface setup between IAB-DU2 and 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 via the target path.</w:t>
      </w:r>
    </w:p>
    <w:p w14:paraId="20D85A24" w14:textId="1E6C5206" w:rsidR="00AA7657" w:rsidRP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Step 4: 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CU1 trigger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 procedure for serv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and 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perform HO preparation for the served UE with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RRCreconfiguration for HO to the served UE via the target path.</w:t>
      </w:r>
    </w:p>
    <w:p w14:paraId="2706EB00" w14:textId="4E22B7A9" w:rsidR="00AA7657" w:rsidRP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Step 5: UE perform</w:t>
      </w:r>
      <w:r w:rsidR="00DA5214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random access procedure at IAB-DU2 and migrate to </w:t>
      </w:r>
      <w:r w:rsidR="00DA5214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CU2.</w:t>
      </w:r>
    </w:p>
    <w:p w14:paraId="5BA6C28A" w14:textId="671E298D" w:rsidR="00DA5214" w:rsidRDefault="00AA7657" w:rsidP="00F7729A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Step 6: F1 removal between IAB-DU1 and </w:t>
      </w:r>
      <w:r w:rsidR="00DA5214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CU1.</w:t>
      </w:r>
    </w:p>
    <w:p w14:paraId="3D3A956D" w14:textId="77777777" w:rsidR="00EF5733" w:rsidRDefault="00EF5733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3BDC9C31" w14:textId="37546F32" w:rsidR="00844F67" w:rsidRDefault="0011533B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535E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ull migration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</w:p>
    <w:p w14:paraId="69299C8E" w14:textId="745992DB" w:rsidR="00F7729A" w:rsidRDefault="00F7729A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Figure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shows an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other</w:t>
      </w: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example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procedure </w:t>
      </w: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IAB-node full migration, where the mobile IAB-node is migrated from a source IAB-donor-CU1 to a target IAB-donor-CU2. In this procedure, the IAB-DU2 can setup the F1 interface with the target IAB-donor-CU2 </w:t>
      </w:r>
      <w:r w:rsidR="00A03FE0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advance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via the source path, and source IAB-donor-CU1 can perform the HO for UE and IAB-MT parallel</w:t>
      </w:r>
      <w:r w:rsidR="00154A98">
        <w:rPr>
          <w:rFonts w:ascii="Times New Roman" w:eastAsia="宋体" w:hAnsi="Times New Roman" w:cs="Times New Roman"/>
          <w:kern w:val="0"/>
          <w:sz w:val="20"/>
          <w:szCs w:val="20"/>
        </w:rPr>
        <w:t>ly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F7945DE" w14:textId="055B7C1E" w:rsidR="00E33AB2" w:rsidRDefault="001A0986" w:rsidP="001A0986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10280" w:dyaOrig="5940" w14:anchorId="4FA109C6">
          <v:shape id="_x0000_i1026" type="#_x0000_t75" style="width:477pt;height:276pt" o:ole="">
            <v:imagedata r:id="rId9" o:title=""/>
          </v:shape>
          <o:OLEObject Type="Embed" ProgID="Visio.Drawing.15" ShapeID="_x0000_i1026" DrawAspect="Content" ObjectID="_1721544488" r:id="rId10"/>
        </w:object>
      </w:r>
    </w:p>
    <w:p w14:paraId="1A243618" w14:textId="20E8C2A9" w:rsidR="00E33AB2" w:rsidRPr="00E33AB2" w:rsidRDefault="00E33AB2" w:rsidP="00E33AB2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1C3355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An e</w:t>
      </w:r>
      <w:r w:rsidRPr="001C3355">
        <w:rPr>
          <w:rFonts w:ascii="Times New Roman" w:hAnsi="Times New Roman" w:cs="Times New Roman"/>
          <w:sz w:val="20"/>
          <w:szCs w:val="20"/>
        </w:rPr>
        <w:t>xample</w:t>
      </w:r>
      <w:r w:rsidR="00A259FE">
        <w:rPr>
          <w:rFonts w:ascii="Times New Roman" w:hAnsi="Times New Roman" w:cs="Times New Roman"/>
          <w:sz w:val="20"/>
          <w:szCs w:val="20"/>
        </w:rPr>
        <w:t xml:space="preserve"> procedure</w:t>
      </w:r>
      <w:r w:rsidRPr="001C3355">
        <w:rPr>
          <w:rFonts w:ascii="Times New Roman" w:hAnsi="Times New Roman" w:cs="Times New Roman"/>
          <w:sz w:val="20"/>
          <w:szCs w:val="20"/>
        </w:rPr>
        <w:t xml:space="preserve"> of inter-donor</w:t>
      </w:r>
      <w:r>
        <w:rPr>
          <w:rFonts w:ascii="Times New Roman" w:hAnsi="Times New Roman" w:cs="Times New Roman"/>
          <w:sz w:val="20"/>
          <w:szCs w:val="20"/>
        </w:rPr>
        <w:t xml:space="preserve"> full migration (</w:t>
      </w:r>
      <w:r w:rsidR="00D535EE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ption 2)</w:t>
      </w:r>
    </w:p>
    <w:p w14:paraId="0A26B0C1" w14:textId="01A9B3AB" w:rsidR="00E33AB2" w:rsidRPr="00E33AB2" w:rsidRDefault="00E33AB2" w:rsidP="00FB6A14">
      <w:pPr>
        <w:widowControl/>
        <w:tabs>
          <w:tab w:val="left" w:pos="6680"/>
        </w:tabs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Step </w:t>
      </w:r>
      <w:r w:rsidR="006D23C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F1 interface setup between IAB-DU2 and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IAB-donor-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CU2 via the source path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the step </w:t>
      </w:r>
      <w:r w:rsidR="00B4659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can be performed parallel or performed </w:t>
      </w:r>
      <w:r w:rsidR="00113831" w:rsidRPr="00113831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before</w:t>
      </w:r>
      <w:r w:rsidR="00B46592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 xml:space="preserve"> IAB-MT migration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09579F2E" w14:textId="1B63E66B" w:rsidR="00E33AB2" w:rsidRPr="00E33AB2" w:rsidRDefault="00E33AB2" w:rsidP="00FB6A14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 w:rsidR="006D23C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CU1 trigger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 procedure for serv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and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perform HO preparation for the served UE with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RRCreconfiguration for HO to the served UE via the source path.</w:t>
      </w:r>
    </w:p>
    <w:p w14:paraId="01824AA2" w14:textId="6FDD17CA" w:rsidR="00E33AB2" w:rsidRPr="00E33AB2" w:rsidRDefault="00E33AB2" w:rsidP="00113831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 w:rsidR="006D23C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served 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UE perform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random access procedure at IAB-DU2 and migrate to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CU2.</w:t>
      </w:r>
    </w:p>
    <w:p w14:paraId="2D35214A" w14:textId="4CE7834F" w:rsidR="006D23C8" w:rsidRPr="006D23C8" w:rsidRDefault="006D23C8" w:rsidP="006D23C8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4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: HO preparation for IAB-MT is performed between source IAB-donor-CU1 and target IAB-donor-CU2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RRCreconfiguration for HO to IAB-MT.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step 4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performed at an earlier stage, e.g.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after step 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, or before step 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E75CEB0" w14:textId="1F76D77A" w:rsidR="00E33AB2" w:rsidRDefault="00E33AB2" w:rsidP="00FB6A14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5: 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IAB-MT performs random access procedure at the target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IAB-donor-DU2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(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 xml:space="preserve">if mobile IAB-node can </w:t>
      </w:r>
      <w:r w:rsidR="00113831" w:rsidRPr="00F4507C">
        <w:rPr>
          <w:rFonts w:ascii="Times New Roman" w:eastAsia="宋体" w:hAnsi="Times New Roman" w:cs="Times New Roman"/>
          <w:kern w:val="0"/>
          <w:sz w:val="20"/>
          <w:szCs w:val="20"/>
        </w:rPr>
        <w:t>connect to a stationary intermediate IAB-node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, IAB-MT performs random access at the target parent IAB-node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) and migrates to the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02AE0D1" w14:textId="196C1728" w:rsidR="00113831" w:rsidRPr="00E33AB2" w:rsidRDefault="00113831" w:rsidP="00113831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After step 5, the F1 interface of IAB-DU2 and the RRC connection for the served UE will be migrated to the target path. If there still some remaining UEs have not trigger the HO to IAB-donor-CU1, the F1 interface of IAB-DU1 needs to be also migrated to the target path.</w:t>
      </w:r>
    </w:p>
    <w:p w14:paraId="08872BBB" w14:textId="54018B61" w:rsidR="00E33AB2" w:rsidRDefault="00E33AB2" w:rsidP="00113831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tep 6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113831"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(Optional)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CU1 trigger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 procedure for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the remaining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perform HO preparation for the remaining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UEs with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RRCreconfiguration for HO to the remaining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UEs via the target path.</w:t>
      </w:r>
      <w:r w:rsidR="0011383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14:paraId="5A4CF901" w14:textId="7E4B5D65" w:rsidR="00113831" w:rsidRPr="00E33AB2" w:rsidRDefault="00113831" w:rsidP="00113831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7 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(Optional):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2A3675">
        <w:rPr>
          <w:rFonts w:ascii="Times New Roman" w:eastAsia="宋体" w:hAnsi="Times New Roman" w:cs="Times New Roman"/>
          <w:kern w:val="0"/>
          <w:sz w:val="20"/>
          <w:szCs w:val="20"/>
        </w:rPr>
        <w:t>The remaining</w:t>
      </w:r>
      <w:r w:rsidR="002A3675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UE</w:t>
      </w:r>
      <w:r w:rsidR="002A367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perform random access procedure at IAB-DU2 and migrate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CU2.</w:t>
      </w:r>
    </w:p>
    <w:p w14:paraId="44A55244" w14:textId="269DF3D4" w:rsidR="00E33AB2" w:rsidRDefault="00E33AB2" w:rsidP="00FB6A14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8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F1 removal between IAB-DU1 and </w:t>
      </w:r>
      <w:r w:rsidR="00A0326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IAB-donor-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CU1.</w:t>
      </w:r>
      <w:r w:rsidR="0054382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44D691C6" w14:textId="77777777" w:rsidR="00C02CEF" w:rsidRPr="00E33AB2" w:rsidRDefault="00C02CEF" w:rsidP="00FB6A14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0B89A73E" w14:textId="18339157" w:rsidR="006806E9" w:rsidRDefault="006806E9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820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AN3 </w:t>
      </w:r>
      <w:r w:rsidR="00A03F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considers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baseline IAB 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inter-donor full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base on the 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procedure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ption 1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Option 2.</w:t>
      </w:r>
    </w:p>
    <w:p w14:paraId="4C198153" w14:textId="0C91AAF3" w:rsidR="006806E9" w:rsidRPr="003E7CE8" w:rsidRDefault="006806E9" w:rsidP="003E7CE8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Option 1: follow the sequence of (1) IAB-MT migration (2) IAB-DU2 setup with target CU (3)</w:t>
      </w:r>
      <w:r w:rsidRPr="003E7CE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UE migration.</w:t>
      </w:r>
    </w:p>
    <w:p w14:paraId="28809FCC" w14:textId="43D373AA" w:rsidR="006806E9" w:rsidRPr="003E7CE8" w:rsidRDefault="006806E9" w:rsidP="003E7CE8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Option 2: follow the sequence of (1) IAB-DU2 setup with target CU (2)</w:t>
      </w:r>
      <w:r w:rsidR="003E7CE8"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UE migration </w:t>
      </w:r>
      <w:r w:rsidR="00EC6B8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and</w:t>
      </w:r>
      <w:r w:rsidR="003E7CE8"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IAB-MT migration</w:t>
      </w:r>
    </w:p>
    <w:p w14:paraId="2A2EDB43" w14:textId="77777777" w:rsidR="00976AEE" w:rsidRDefault="00976AEE" w:rsidP="00976AEE">
      <w:pPr>
        <w:widowControl/>
        <w:overflowPunct w:val="0"/>
        <w:autoSpaceDE w:val="0"/>
        <w:autoSpaceDN w:val="0"/>
        <w:adjustRightInd w:val="0"/>
        <w:spacing w:beforeLines="100" w:before="24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</w:p>
    <w:p w14:paraId="731D243C" w14:textId="77777777" w:rsidR="00976AEE" w:rsidRDefault="00976AEE" w:rsidP="00976AEE">
      <w:pPr>
        <w:widowControl/>
        <w:overflowPunct w:val="0"/>
        <w:autoSpaceDE w:val="0"/>
        <w:autoSpaceDN w:val="0"/>
        <w:adjustRightInd w:val="0"/>
        <w:spacing w:beforeLines="100" w:before="24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</w:p>
    <w:p w14:paraId="75B442C4" w14:textId="77777777" w:rsidR="001140E8" w:rsidRDefault="001140E8" w:rsidP="00976AEE">
      <w:pPr>
        <w:widowControl/>
        <w:overflowPunct w:val="0"/>
        <w:autoSpaceDE w:val="0"/>
        <w:autoSpaceDN w:val="0"/>
        <w:adjustRightInd w:val="0"/>
        <w:spacing w:beforeLines="100" w:before="24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lastRenderedPageBreak/>
        <w:t>Inter-donor partial migration for mobile IAB-node</w:t>
      </w:r>
    </w:p>
    <w:p w14:paraId="1F725237" w14:textId="74033115" w:rsidR="001140E8" w:rsidRPr="001F10C6" w:rsidRDefault="001140E8" w:rsidP="001140E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shown in Figure </w:t>
      </w:r>
      <w:r w:rsidR="00362050"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bookmarkStart w:id="2" w:name="_Hlk110516327"/>
      <w:r>
        <w:rPr>
          <w:rFonts w:ascii="Times New Roman" w:eastAsia="宋体" w:hAnsi="Times New Roman" w:cs="Times New Roman"/>
          <w:kern w:val="0"/>
          <w:sz w:val="20"/>
          <w:szCs w:val="20"/>
        </w:rPr>
        <w:t>the mobile IAB-node</w:t>
      </w:r>
      <w:r w:rsidR="00AB3F84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firstly performs partial migration from IAB-donor-CU1 to IAB-donor-CU2.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fter the partial migration, the IAB-MT</w:t>
      </w:r>
      <w:r w:rsidR="00D56567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migrated to target IAB-donor-CU2 while IAB-DU</w:t>
      </w:r>
      <w:r w:rsidR="00D56567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still retain its F1 interface with the source IAB-donor-CU1. </w:t>
      </w:r>
      <w:r w:rsidR="00DE08B3">
        <w:rPr>
          <w:rFonts w:ascii="Times New Roman" w:eastAsia="宋体" w:hAnsi="Times New Roman" w:cs="Times New Roman"/>
          <w:kern w:val="0"/>
          <w:sz w:val="20"/>
          <w:szCs w:val="20"/>
        </w:rPr>
        <w:t>The mobile IAB</w:t>
      </w:r>
      <w:r w:rsidR="00D5235A"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="00DE08B3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move to the coverage of IAB-dornor3.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Once the mobile IAB-node</w:t>
      </w:r>
      <w:r w:rsidR="00D56567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triggers full migration to another target IAB-donor-CU3, the migration of IAB-DU</w:t>
      </w:r>
      <w:r w:rsidR="00D56567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served UEs may needs negotiation among the three IAB-donors, which will</w:t>
      </w:r>
      <w:r w:rsidRPr="0008016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make the full migration procedure become too complex. Alternatively, the full migration of the IAB-node</w:t>
      </w:r>
      <w:r w:rsidR="00D56567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IAB-donor-CU3 can be performed only after the IAB-node</w:t>
      </w:r>
      <w:r w:rsidR="00D56567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further complete the full migration from IAB-donor-CU1 to IAB-donor-CU2. However, s</w:t>
      </w:r>
      <w:r w:rsidRPr="00F42247">
        <w:rPr>
          <w:rFonts w:ascii="Times New Roman" w:eastAsia="宋体" w:hAnsi="Times New Roman" w:cs="Times New Roman"/>
          <w:kern w:val="0"/>
          <w:sz w:val="20"/>
          <w:szCs w:val="20"/>
        </w:rPr>
        <w:t>uccessive two time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 of full migration costs too much latency, it’s unacceptable especially in the scenario of mobile IAB.</w:t>
      </w:r>
      <w:r w:rsidR="00B936B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bookmarkEnd w:id="2"/>
    <w:p w14:paraId="6453991B" w14:textId="7F0449E9" w:rsidR="000C63AC" w:rsidRDefault="000C63AC" w:rsidP="000C63A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820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Mobile IAB-node only supports full migration and doesn</w:t>
      </w:r>
      <w:r w:rsidR="00B936B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’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 support partial migration.</w:t>
      </w:r>
    </w:p>
    <w:p w14:paraId="54D1B1E5" w14:textId="77777777" w:rsidR="001140E8" w:rsidRPr="00901EE5" w:rsidRDefault="001140E8" w:rsidP="001140E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object w:dxaOrig="13951" w:dyaOrig="4161" w14:anchorId="741C1DE8">
          <v:shape id="_x0000_i1027" type="#_x0000_t75" style="width:481.5pt;height:143.5pt" o:ole="">
            <v:imagedata r:id="rId11" o:title=""/>
          </v:shape>
          <o:OLEObject Type="Embed" ProgID="Visio.Drawing.15" ShapeID="_x0000_i1027" DrawAspect="Content" ObjectID="_1721544489" r:id="rId12"/>
        </w:object>
      </w:r>
    </w:p>
    <w:p w14:paraId="755ED0C0" w14:textId="4EC811A8" w:rsidR="00976AEE" w:rsidRPr="00362050" w:rsidRDefault="001140E8" w:rsidP="00362050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</w:t>
      </w:r>
      <w:r w:rsidR="00362050">
        <w:rPr>
          <w:rFonts w:ascii="Times New Roman" w:hAnsi="Times New Roman" w:cs="Times New Roman"/>
          <w:sz w:val="20"/>
          <w:szCs w:val="20"/>
        </w:rPr>
        <w:t>3</w:t>
      </w:r>
      <w:r w:rsidRPr="001C3355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An e</w:t>
      </w:r>
      <w:r w:rsidRPr="001C3355">
        <w:rPr>
          <w:rFonts w:ascii="Times New Roman" w:hAnsi="Times New Roman" w:cs="Times New Roman"/>
          <w:sz w:val="20"/>
          <w:szCs w:val="20"/>
        </w:rPr>
        <w:t>xample</w:t>
      </w:r>
      <w:r>
        <w:rPr>
          <w:rFonts w:ascii="Times New Roman" w:hAnsi="Times New Roman" w:cs="Times New Roman"/>
          <w:sz w:val="20"/>
          <w:szCs w:val="20"/>
        </w:rPr>
        <w:t xml:space="preserve"> of partial migration mobile IAB-node to perform full migration to another IAB-donor</w:t>
      </w:r>
    </w:p>
    <w:p w14:paraId="76A9711F" w14:textId="400405C9" w:rsidR="001140E8" w:rsidRDefault="001140E8" w:rsidP="00976AEE">
      <w:pPr>
        <w:widowControl/>
        <w:overflowPunct w:val="0"/>
        <w:autoSpaceDE w:val="0"/>
        <w:autoSpaceDN w:val="0"/>
        <w:adjustRightInd w:val="0"/>
        <w:spacing w:beforeLines="100" w:before="24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Inter-donor full migration for stationary IAB-node</w:t>
      </w:r>
    </w:p>
    <w:p w14:paraId="13F75634" w14:textId="2354888D" w:rsidR="009E3579" w:rsidRDefault="009E3579" w:rsidP="001140E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 defined in the WID [1], the </w:t>
      </w:r>
      <w:r w:rsidRPr="002949AE">
        <w:rPr>
          <w:rFonts w:ascii="Times New Roman" w:eastAsia="宋体" w:hAnsi="Times New Roman" w:cs="Times New Roman"/>
          <w:kern w:val="0"/>
          <w:sz w:val="20"/>
          <w:szCs w:val="20"/>
        </w:rPr>
        <w:t>mobile IAB-node should have no descendent IAB-nodes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only served for UEs for the simplify of mobile IAB-node mobiliary. Then, the full migration procedures defined </w:t>
      </w:r>
      <w:r w:rsidR="00C07CA9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Rel-18 shouldn’t involve the </w:t>
      </w:r>
      <w:r w:rsidR="00C07CA9" w:rsidRPr="002949AE">
        <w:rPr>
          <w:rFonts w:ascii="Times New Roman" w:eastAsia="宋体" w:hAnsi="Times New Roman" w:cs="Times New Roman"/>
          <w:kern w:val="0"/>
          <w:sz w:val="20"/>
          <w:szCs w:val="20"/>
        </w:rPr>
        <w:t>descendent IAB-nodes</w:t>
      </w:r>
      <w:r w:rsidR="00C07CA9">
        <w:rPr>
          <w:rFonts w:ascii="Times New Roman" w:eastAsia="宋体" w:hAnsi="Times New Roman" w:cs="Times New Roman"/>
          <w:kern w:val="0"/>
          <w:sz w:val="20"/>
          <w:szCs w:val="20"/>
        </w:rPr>
        <w:t xml:space="preserve">. While for a stationary intermediate IAB-node, it has descendant </w:t>
      </w:r>
      <w:r w:rsidR="000B7C6F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="00C07CA9">
        <w:rPr>
          <w:rFonts w:ascii="Times New Roman" w:eastAsia="宋体" w:hAnsi="Times New Roman" w:cs="Times New Roman"/>
          <w:kern w:val="0"/>
          <w:sz w:val="20"/>
          <w:szCs w:val="20"/>
        </w:rPr>
        <w:t>nodes and cannot directly reuse the full migration procedures defined for the mobile IAB-node</w:t>
      </w:r>
      <w:r w:rsidR="000B7C6F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E86C9B6" w14:textId="76BFD901" w:rsidR="00D41AC1" w:rsidRPr="004C273D" w:rsidRDefault="001140E8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863E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6863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36205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6863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6863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tationary IAB-node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doesn’t </w:t>
      </w:r>
      <w:r w:rsidRPr="006863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support inter-donor full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defined in R18</w:t>
      </w:r>
      <w:r w:rsidRPr="006863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3B592B3D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0C73E6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0C73E6" w:rsidRPr="000C73E6">
        <w:rPr>
          <w:rFonts w:ascii="Times New Roman" w:eastAsia="宋体" w:hAnsi="Times New Roman" w:cs="Times New Roman"/>
          <w:kern w:val="0"/>
          <w:sz w:val="20"/>
          <w:szCs w:val="20"/>
        </w:rPr>
        <w:t>nter-donor full migration of mobile IAB-node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4030F892" w14:textId="2CFA23F3" w:rsidR="007C41E1" w:rsidRDefault="007C41E1" w:rsidP="007C41E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820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AN3 </w:t>
      </w:r>
      <w:r w:rsidR="00A03F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considers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baseline IAB 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inter-donor full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base on the 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procedure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ption 1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Option 2.</w:t>
      </w:r>
    </w:p>
    <w:p w14:paraId="31BCD773" w14:textId="77777777" w:rsidR="007C41E1" w:rsidRPr="003E7CE8" w:rsidRDefault="007C41E1" w:rsidP="007C41E1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Option 1: follow the sequence of (1) IAB-MT migration (2) IAB-DU2 setup with target CU (3)</w:t>
      </w:r>
      <w:r w:rsidRPr="003E7CE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UE migration.</w:t>
      </w:r>
    </w:p>
    <w:p w14:paraId="34A22B86" w14:textId="5859BFA0" w:rsidR="007C41E1" w:rsidRPr="003E7CE8" w:rsidRDefault="007C41E1" w:rsidP="007C41E1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Option 2: follow the sequence of (1) IAB-DU2 setup with target CU (2) UE migration </w:t>
      </w:r>
      <w:r w:rsidR="009018B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and </w:t>
      </w: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IAB-MT migration</w:t>
      </w:r>
    </w:p>
    <w:p w14:paraId="4C6C77DD" w14:textId="16946700" w:rsidR="007C41E1" w:rsidRDefault="007C41E1" w:rsidP="007C41E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820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36205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Mobile IAB-node only support</w:t>
      </w:r>
      <w:r w:rsidR="000C63A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full </w:t>
      </w:r>
      <w:r w:rsidR="000C63A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migration and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B936B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doesn’t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0C63A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support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partial migration.</w:t>
      </w:r>
    </w:p>
    <w:p w14:paraId="0B94188D" w14:textId="21BB5613" w:rsidR="001140E8" w:rsidRPr="007A291D" w:rsidRDefault="001140E8" w:rsidP="007C41E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863E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6863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36205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6863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6863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tationary IAB-node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doesn’t </w:t>
      </w:r>
      <w:r w:rsidRPr="006863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support inter-donor full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defined in R18</w:t>
      </w:r>
      <w:r w:rsidRPr="006863E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479D6653" w14:textId="5D25323B" w:rsidR="0084197E" w:rsidRDefault="0079514C" w:rsidP="003179A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RP-221815. </w:t>
      </w:r>
      <w:r w:rsidRPr="0079514C">
        <w:rPr>
          <w:rFonts w:ascii="Times New Roman" w:eastAsia="宋体" w:hAnsi="Times New Roman" w:cs="Times New Roman"/>
          <w:kern w:val="0"/>
          <w:sz w:val="20"/>
          <w:lang w:val="x-none"/>
        </w:rPr>
        <w:t>New WID on Mobile IAB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7D7AC881" w14:textId="5965D652" w:rsidR="001D64DD" w:rsidRPr="004C273D" w:rsidRDefault="00A93291" w:rsidP="00944C8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11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2 </w:t>
      </w:r>
      <w:r w:rsidR="0040527B">
        <w:rPr>
          <w:rFonts w:ascii="Times New Roman" w:eastAsia="宋体" w:hAnsi="Times New Roman" w:cs="Times New Roman"/>
          <w:kern w:val="0"/>
          <w:sz w:val="20"/>
          <w:lang w:val="x-none"/>
        </w:rPr>
        <w:t>e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>-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meeting.</w:t>
      </w:r>
    </w:p>
    <w:sectPr w:rsidR="001D64DD" w:rsidRPr="004C273D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4C2A4" w14:textId="77777777" w:rsidR="00605B0C" w:rsidRDefault="00605B0C" w:rsidP="00AA3FAE">
      <w:r>
        <w:separator/>
      </w:r>
    </w:p>
  </w:endnote>
  <w:endnote w:type="continuationSeparator" w:id="0">
    <w:p w14:paraId="6C2B5162" w14:textId="77777777" w:rsidR="00605B0C" w:rsidRDefault="00605B0C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A72B6" w14:textId="77777777" w:rsidR="00605B0C" w:rsidRDefault="00605B0C" w:rsidP="00AA3FAE">
      <w:r>
        <w:separator/>
      </w:r>
    </w:p>
  </w:footnote>
  <w:footnote w:type="continuationSeparator" w:id="0">
    <w:p w14:paraId="67D46CA8" w14:textId="77777777" w:rsidR="00605B0C" w:rsidRDefault="00605B0C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5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1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2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17A92"/>
    <w:rsid w:val="00022004"/>
    <w:rsid w:val="00022A6F"/>
    <w:rsid w:val="000306D0"/>
    <w:rsid w:val="00032116"/>
    <w:rsid w:val="00035328"/>
    <w:rsid w:val="00035983"/>
    <w:rsid w:val="00041E88"/>
    <w:rsid w:val="00047E11"/>
    <w:rsid w:val="000505CB"/>
    <w:rsid w:val="000566E1"/>
    <w:rsid w:val="00060A16"/>
    <w:rsid w:val="000613CF"/>
    <w:rsid w:val="0006171A"/>
    <w:rsid w:val="000649F5"/>
    <w:rsid w:val="0006683B"/>
    <w:rsid w:val="00070D39"/>
    <w:rsid w:val="00072D31"/>
    <w:rsid w:val="0008016F"/>
    <w:rsid w:val="00086B95"/>
    <w:rsid w:val="000874BB"/>
    <w:rsid w:val="00095520"/>
    <w:rsid w:val="0009781A"/>
    <w:rsid w:val="000A18DF"/>
    <w:rsid w:val="000A3D7E"/>
    <w:rsid w:val="000B1D18"/>
    <w:rsid w:val="000B7C20"/>
    <w:rsid w:val="000B7C6F"/>
    <w:rsid w:val="000C0937"/>
    <w:rsid w:val="000C15D9"/>
    <w:rsid w:val="000C1990"/>
    <w:rsid w:val="000C3F89"/>
    <w:rsid w:val="000C63AC"/>
    <w:rsid w:val="000C73E6"/>
    <w:rsid w:val="000C7510"/>
    <w:rsid w:val="000D0A67"/>
    <w:rsid w:val="000D3ADF"/>
    <w:rsid w:val="000D4846"/>
    <w:rsid w:val="000D5F51"/>
    <w:rsid w:val="000E24D5"/>
    <w:rsid w:val="000E61B1"/>
    <w:rsid w:val="000E651D"/>
    <w:rsid w:val="000E706D"/>
    <w:rsid w:val="000F0260"/>
    <w:rsid w:val="000F6A9D"/>
    <w:rsid w:val="00100689"/>
    <w:rsid w:val="00101812"/>
    <w:rsid w:val="00111B28"/>
    <w:rsid w:val="00113831"/>
    <w:rsid w:val="001139CF"/>
    <w:rsid w:val="001140E8"/>
    <w:rsid w:val="0011469E"/>
    <w:rsid w:val="00114E43"/>
    <w:rsid w:val="0011533B"/>
    <w:rsid w:val="00121955"/>
    <w:rsid w:val="00123848"/>
    <w:rsid w:val="00130515"/>
    <w:rsid w:val="00134A9A"/>
    <w:rsid w:val="00134C0A"/>
    <w:rsid w:val="001353CD"/>
    <w:rsid w:val="001420AF"/>
    <w:rsid w:val="00154A98"/>
    <w:rsid w:val="0015523D"/>
    <w:rsid w:val="001556FC"/>
    <w:rsid w:val="00157E1B"/>
    <w:rsid w:val="00161A1A"/>
    <w:rsid w:val="001623DF"/>
    <w:rsid w:val="0017256C"/>
    <w:rsid w:val="00172D96"/>
    <w:rsid w:val="0017370C"/>
    <w:rsid w:val="001847E8"/>
    <w:rsid w:val="00190FAF"/>
    <w:rsid w:val="0019499C"/>
    <w:rsid w:val="001A0305"/>
    <w:rsid w:val="001A0986"/>
    <w:rsid w:val="001A112C"/>
    <w:rsid w:val="001A2383"/>
    <w:rsid w:val="001A38C6"/>
    <w:rsid w:val="001A44C7"/>
    <w:rsid w:val="001A7180"/>
    <w:rsid w:val="001B0D34"/>
    <w:rsid w:val="001B15FE"/>
    <w:rsid w:val="001B31AB"/>
    <w:rsid w:val="001C0F1D"/>
    <w:rsid w:val="001C3355"/>
    <w:rsid w:val="001D5202"/>
    <w:rsid w:val="001D64DD"/>
    <w:rsid w:val="001F0325"/>
    <w:rsid w:val="001F10C6"/>
    <w:rsid w:val="001F34D3"/>
    <w:rsid w:val="001F5824"/>
    <w:rsid w:val="002070BF"/>
    <w:rsid w:val="00213791"/>
    <w:rsid w:val="0022248C"/>
    <w:rsid w:val="00222F62"/>
    <w:rsid w:val="00227B13"/>
    <w:rsid w:val="00230B9F"/>
    <w:rsid w:val="00232519"/>
    <w:rsid w:val="00232B2A"/>
    <w:rsid w:val="0024433A"/>
    <w:rsid w:val="00245E3F"/>
    <w:rsid w:val="002500C6"/>
    <w:rsid w:val="00256265"/>
    <w:rsid w:val="00261529"/>
    <w:rsid w:val="002639A4"/>
    <w:rsid w:val="00267897"/>
    <w:rsid w:val="00277010"/>
    <w:rsid w:val="00281EF8"/>
    <w:rsid w:val="00283294"/>
    <w:rsid w:val="00286C7E"/>
    <w:rsid w:val="00292940"/>
    <w:rsid w:val="002949AE"/>
    <w:rsid w:val="002A3675"/>
    <w:rsid w:val="002A5557"/>
    <w:rsid w:val="002A7108"/>
    <w:rsid w:val="002B23C1"/>
    <w:rsid w:val="002B3BF8"/>
    <w:rsid w:val="002B61AB"/>
    <w:rsid w:val="002B7FB5"/>
    <w:rsid w:val="002C1BFE"/>
    <w:rsid w:val="002C6DA5"/>
    <w:rsid w:val="002C75FC"/>
    <w:rsid w:val="002D370E"/>
    <w:rsid w:val="002D6F0D"/>
    <w:rsid w:val="002E166E"/>
    <w:rsid w:val="002E57D5"/>
    <w:rsid w:val="002F231B"/>
    <w:rsid w:val="002F4481"/>
    <w:rsid w:val="002F5E78"/>
    <w:rsid w:val="002F7A58"/>
    <w:rsid w:val="002F7DD1"/>
    <w:rsid w:val="0030034E"/>
    <w:rsid w:val="00301940"/>
    <w:rsid w:val="00304AB3"/>
    <w:rsid w:val="003122DB"/>
    <w:rsid w:val="003169C7"/>
    <w:rsid w:val="0031760A"/>
    <w:rsid w:val="003179AD"/>
    <w:rsid w:val="0032255E"/>
    <w:rsid w:val="00323869"/>
    <w:rsid w:val="00324B30"/>
    <w:rsid w:val="0033243A"/>
    <w:rsid w:val="00340F49"/>
    <w:rsid w:val="00341F62"/>
    <w:rsid w:val="00343D32"/>
    <w:rsid w:val="0035034A"/>
    <w:rsid w:val="003521C3"/>
    <w:rsid w:val="0035349C"/>
    <w:rsid w:val="003563BC"/>
    <w:rsid w:val="00362050"/>
    <w:rsid w:val="00362F2C"/>
    <w:rsid w:val="00364270"/>
    <w:rsid w:val="00364AC3"/>
    <w:rsid w:val="00373427"/>
    <w:rsid w:val="0037433B"/>
    <w:rsid w:val="00375BBE"/>
    <w:rsid w:val="00380BE9"/>
    <w:rsid w:val="003820DA"/>
    <w:rsid w:val="00384956"/>
    <w:rsid w:val="00385E03"/>
    <w:rsid w:val="003901C4"/>
    <w:rsid w:val="003976B5"/>
    <w:rsid w:val="003A0B1A"/>
    <w:rsid w:val="003A4A2A"/>
    <w:rsid w:val="003A5735"/>
    <w:rsid w:val="003B170E"/>
    <w:rsid w:val="003B4C4B"/>
    <w:rsid w:val="003C172B"/>
    <w:rsid w:val="003C333E"/>
    <w:rsid w:val="003C6CEF"/>
    <w:rsid w:val="003E7CE8"/>
    <w:rsid w:val="003F22E5"/>
    <w:rsid w:val="003F2D27"/>
    <w:rsid w:val="003F2E3B"/>
    <w:rsid w:val="003F5217"/>
    <w:rsid w:val="00400281"/>
    <w:rsid w:val="00402DFA"/>
    <w:rsid w:val="0040415F"/>
    <w:rsid w:val="0040527B"/>
    <w:rsid w:val="00405361"/>
    <w:rsid w:val="00410D54"/>
    <w:rsid w:val="004139B5"/>
    <w:rsid w:val="004139F0"/>
    <w:rsid w:val="00415D56"/>
    <w:rsid w:val="00425021"/>
    <w:rsid w:val="00431BB4"/>
    <w:rsid w:val="00435674"/>
    <w:rsid w:val="0043789D"/>
    <w:rsid w:val="00445267"/>
    <w:rsid w:val="004561FF"/>
    <w:rsid w:val="00460CDD"/>
    <w:rsid w:val="00461164"/>
    <w:rsid w:val="0046367F"/>
    <w:rsid w:val="004646DC"/>
    <w:rsid w:val="00470777"/>
    <w:rsid w:val="004774BA"/>
    <w:rsid w:val="0047779A"/>
    <w:rsid w:val="00482C89"/>
    <w:rsid w:val="00482EDB"/>
    <w:rsid w:val="00487DC1"/>
    <w:rsid w:val="00493281"/>
    <w:rsid w:val="004958CF"/>
    <w:rsid w:val="00496C05"/>
    <w:rsid w:val="004A40B8"/>
    <w:rsid w:val="004A7B5F"/>
    <w:rsid w:val="004B04C5"/>
    <w:rsid w:val="004B5B72"/>
    <w:rsid w:val="004B5BA7"/>
    <w:rsid w:val="004B5F55"/>
    <w:rsid w:val="004C0221"/>
    <w:rsid w:val="004C155B"/>
    <w:rsid w:val="004C273D"/>
    <w:rsid w:val="004C4B68"/>
    <w:rsid w:val="004C753F"/>
    <w:rsid w:val="004D23F2"/>
    <w:rsid w:val="004D2414"/>
    <w:rsid w:val="004D54D2"/>
    <w:rsid w:val="004D5505"/>
    <w:rsid w:val="004E0968"/>
    <w:rsid w:val="004E7396"/>
    <w:rsid w:val="004F17F8"/>
    <w:rsid w:val="004F1FBE"/>
    <w:rsid w:val="004F7753"/>
    <w:rsid w:val="004F7F21"/>
    <w:rsid w:val="00502253"/>
    <w:rsid w:val="00504029"/>
    <w:rsid w:val="0052218C"/>
    <w:rsid w:val="005237AE"/>
    <w:rsid w:val="00530F9F"/>
    <w:rsid w:val="00532DEC"/>
    <w:rsid w:val="005347E6"/>
    <w:rsid w:val="005355E0"/>
    <w:rsid w:val="00541DC6"/>
    <w:rsid w:val="00542A22"/>
    <w:rsid w:val="0054309F"/>
    <w:rsid w:val="0054382F"/>
    <w:rsid w:val="005508EC"/>
    <w:rsid w:val="00550D47"/>
    <w:rsid w:val="005526BE"/>
    <w:rsid w:val="00554BA2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34BC"/>
    <w:rsid w:val="00575F7F"/>
    <w:rsid w:val="00576069"/>
    <w:rsid w:val="00583837"/>
    <w:rsid w:val="00587CBF"/>
    <w:rsid w:val="005919B5"/>
    <w:rsid w:val="005939B2"/>
    <w:rsid w:val="005A0141"/>
    <w:rsid w:val="005A172D"/>
    <w:rsid w:val="005A7B59"/>
    <w:rsid w:val="005B311C"/>
    <w:rsid w:val="005B4B3A"/>
    <w:rsid w:val="005B7597"/>
    <w:rsid w:val="005C686B"/>
    <w:rsid w:val="005C6EEA"/>
    <w:rsid w:val="005C7E1D"/>
    <w:rsid w:val="005D1F9E"/>
    <w:rsid w:val="005D526C"/>
    <w:rsid w:val="005E1E09"/>
    <w:rsid w:val="005E6B5B"/>
    <w:rsid w:val="005E7BCB"/>
    <w:rsid w:val="006040E0"/>
    <w:rsid w:val="00604CC3"/>
    <w:rsid w:val="00605573"/>
    <w:rsid w:val="00605B0C"/>
    <w:rsid w:val="00607C4A"/>
    <w:rsid w:val="00611379"/>
    <w:rsid w:val="00625208"/>
    <w:rsid w:val="0062546C"/>
    <w:rsid w:val="00632A14"/>
    <w:rsid w:val="0063421A"/>
    <w:rsid w:val="00662469"/>
    <w:rsid w:val="00666EA1"/>
    <w:rsid w:val="006749D1"/>
    <w:rsid w:val="006806E9"/>
    <w:rsid w:val="00682F29"/>
    <w:rsid w:val="00683F4C"/>
    <w:rsid w:val="00684A40"/>
    <w:rsid w:val="006863E6"/>
    <w:rsid w:val="00687312"/>
    <w:rsid w:val="00687695"/>
    <w:rsid w:val="006917E5"/>
    <w:rsid w:val="006925A3"/>
    <w:rsid w:val="00696619"/>
    <w:rsid w:val="006A3137"/>
    <w:rsid w:val="006A3783"/>
    <w:rsid w:val="006A5274"/>
    <w:rsid w:val="006A53D6"/>
    <w:rsid w:val="006B0FE9"/>
    <w:rsid w:val="006C1E84"/>
    <w:rsid w:val="006D1A36"/>
    <w:rsid w:val="006D23C8"/>
    <w:rsid w:val="006D2AEE"/>
    <w:rsid w:val="006D5CA9"/>
    <w:rsid w:val="006D6F3D"/>
    <w:rsid w:val="006E2F17"/>
    <w:rsid w:val="006E5A0A"/>
    <w:rsid w:val="006E7CED"/>
    <w:rsid w:val="006F50AC"/>
    <w:rsid w:val="006F7041"/>
    <w:rsid w:val="00700A81"/>
    <w:rsid w:val="00703BAA"/>
    <w:rsid w:val="00705A56"/>
    <w:rsid w:val="0070723A"/>
    <w:rsid w:val="00707369"/>
    <w:rsid w:val="00715902"/>
    <w:rsid w:val="00716AD9"/>
    <w:rsid w:val="007209B0"/>
    <w:rsid w:val="00730389"/>
    <w:rsid w:val="00730BC7"/>
    <w:rsid w:val="0073471A"/>
    <w:rsid w:val="00737853"/>
    <w:rsid w:val="007424B9"/>
    <w:rsid w:val="007452B6"/>
    <w:rsid w:val="0075187D"/>
    <w:rsid w:val="0076720C"/>
    <w:rsid w:val="00780AEB"/>
    <w:rsid w:val="0078172C"/>
    <w:rsid w:val="007846F4"/>
    <w:rsid w:val="00787F6F"/>
    <w:rsid w:val="0079514C"/>
    <w:rsid w:val="007A291D"/>
    <w:rsid w:val="007A2F3F"/>
    <w:rsid w:val="007B3141"/>
    <w:rsid w:val="007B334A"/>
    <w:rsid w:val="007C41E1"/>
    <w:rsid w:val="007C4A72"/>
    <w:rsid w:val="007D06AC"/>
    <w:rsid w:val="007E1B20"/>
    <w:rsid w:val="007F2A4D"/>
    <w:rsid w:val="007F2E5B"/>
    <w:rsid w:val="008015FF"/>
    <w:rsid w:val="00807095"/>
    <w:rsid w:val="00811326"/>
    <w:rsid w:val="00813C06"/>
    <w:rsid w:val="008224D6"/>
    <w:rsid w:val="00824193"/>
    <w:rsid w:val="00832BE1"/>
    <w:rsid w:val="00835D29"/>
    <w:rsid w:val="0084197E"/>
    <w:rsid w:val="00844F67"/>
    <w:rsid w:val="008452D8"/>
    <w:rsid w:val="008522C2"/>
    <w:rsid w:val="00855C34"/>
    <w:rsid w:val="00864DEE"/>
    <w:rsid w:val="00865F65"/>
    <w:rsid w:val="00866ED3"/>
    <w:rsid w:val="00870252"/>
    <w:rsid w:val="008714A7"/>
    <w:rsid w:val="00877E0A"/>
    <w:rsid w:val="00881EEB"/>
    <w:rsid w:val="0088224B"/>
    <w:rsid w:val="00885223"/>
    <w:rsid w:val="0088742B"/>
    <w:rsid w:val="00887EAA"/>
    <w:rsid w:val="00896FE5"/>
    <w:rsid w:val="0089705F"/>
    <w:rsid w:val="008974CD"/>
    <w:rsid w:val="008B1345"/>
    <w:rsid w:val="008B1CAD"/>
    <w:rsid w:val="008B79BC"/>
    <w:rsid w:val="008B7D21"/>
    <w:rsid w:val="008C26CC"/>
    <w:rsid w:val="008D3D70"/>
    <w:rsid w:val="008D669E"/>
    <w:rsid w:val="008D7810"/>
    <w:rsid w:val="008E0ECE"/>
    <w:rsid w:val="008E59A7"/>
    <w:rsid w:val="008F063F"/>
    <w:rsid w:val="009018BD"/>
    <w:rsid w:val="00901EE5"/>
    <w:rsid w:val="00906767"/>
    <w:rsid w:val="009113BD"/>
    <w:rsid w:val="009174F1"/>
    <w:rsid w:val="00922240"/>
    <w:rsid w:val="009259CA"/>
    <w:rsid w:val="009269BB"/>
    <w:rsid w:val="00926DCD"/>
    <w:rsid w:val="00932D3E"/>
    <w:rsid w:val="00943A26"/>
    <w:rsid w:val="009443D2"/>
    <w:rsid w:val="00944C84"/>
    <w:rsid w:val="00952028"/>
    <w:rsid w:val="0095297E"/>
    <w:rsid w:val="00953570"/>
    <w:rsid w:val="009536E1"/>
    <w:rsid w:val="009551A9"/>
    <w:rsid w:val="00957C7B"/>
    <w:rsid w:val="00976AEE"/>
    <w:rsid w:val="00977F34"/>
    <w:rsid w:val="009912C5"/>
    <w:rsid w:val="00992405"/>
    <w:rsid w:val="009926ED"/>
    <w:rsid w:val="00994662"/>
    <w:rsid w:val="00994907"/>
    <w:rsid w:val="009B19F1"/>
    <w:rsid w:val="009B3EF1"/>
    <w:rsid w:val="009C0360"/>
    <w:rsid w:val="009C3C24"/>
    <w:rsid w:val="009C6DD1"/>
    <w:rsid w:val="009C7F3D"/>
    <w:rsid w:val="009D6382"/>
    <w:rsid w:val="009E3579"/>
    <w:rsid w:val="009E4AD9"/>
    <w:rsid w:val="009E4B2C"/>
    <w:rsid w:val="009E4D5F"/>
    <w:rsid w:val="009E506A"/>
    <w:rsid w:val="009E5B91"/>
    <w:rsid w:val="009E7474"/>
    <w:rsid w:val="009F1E23"/>
    <w:rsid w:val="00A017DE"/>
    <w:rsid w:val="00A03261"/>
    <w:rsid w:val="00A035AE"/>
    <w:rsid w:val="00A03FE0"/>
    <w:rsid w:val="00A048A1"/>
    <w:rsid w:val="00A04D91"/>
    <w:rsid w:val="00A16F17"/>
    <w:rsid w:val="00A2110E"/>
    <w:rsid w:val="00A218C1"/>
    <w:rsid w:val="00A21C09"/>
    <w:rsid w:val="00A24E34"/>
    <w:rsid w:val="00A259FE"/>
    <w:rsid w:val="00A26D85"/>
    <w:rsid w:val="00A26E1D"/>
    <w:rsid w:val="00A27064"/>
    <w:rsid w:val="00A37406"/>
    <w:rsid w:val="00A41CAB"/>
    <w:rsid w:val="00A45B7F"/>
    <w:rsid w:val="00A46452"/>
    <w:rsid w:val="00A51D78"/>
    <w:rsid w:val="00A53E8A"/>
    <w:rsid w:val="00A601A2"/>
    <w:rsid w:val="00A661E2"/>
    <w:rsid w:val="00A765AC"/>
    <w:rsid w:val="00A77D6B"/>
    <w:rsid w:val="00A81646"/>
    <w:rsid w:val="00A837DE"/>
    <w:rsid w:val="00A84D97"/>
    <w:rsid w:val="00A84E6F"/>
    <w:rsid w:val="00A85027"/>
    <w:rsid w:val="00A93291"/>
    <w:rsid w:val="00A933F5"/>
    <w:rsid w:val="00AA0C41"/>
    <w:rsid w:val="00AA290B"/>
    <w:rsid w:val="00AA2E85"/>
    <w:rsid w:val="00AA34FB"/>
    <w:rsid w:val="00AA3FAE"/>
    <w:rsid w:val="00AA70B5"/>
    <w:rsid w:val="00AA7657"/>
    <w:rsid w:val="00AA7EAE"/>
    <w:rsid w:val="00AB0A5A"/>
    <w:rsid w:val="00AB3F84"/>
    <w:rsid w:val="00AC25E2"/>
    <w:rsid w:val="00AC3051"/>
    <w:rsid w:val="00AC44C3"/>
    <w:rsid w:val="00AC553A"/>
    <w:rsid w:val="00AE4ACB"/>
    <w:rsid w:val="00AE774C"/>
    <w:rsid w:val="00AF05F2"/>
    <w:rsid w:val="00AF24A3"/>
    <w:rsid w:val="00AF4491"/>
    <w:rsid w:val="00AF6E22"/>
    <w:rsid w:val="00AF7716"/>
    <w:rsid w:val="00B000F1"/>
    <w:rsid w:val="00B0062A"/>
    <w:rsid w:val="00B06DA9"/>
    <w:rsid w:val="00B20D2F"/>
    <w:rsid w:val="00B2364A"/>
    <w:rsid w:val="00B25314"/>
    <w:rsid w:val="00B26539"/>
    <w:rsid w:val="00B33EE7"/>
    <w:rsid w:val="00B34B5A"/>
    <w:rsid w:val="00B40018"/>
    <w:rsid w:val="00B403D4"/>
    <w:rsid w:val="00B447E6"/>
    <w:rsid w:val="00B46592"/>
    <w:rsid w:val="00B46699"/>
    <w:rsid w:val="00B54FE2"/>
    <w:rsid w:val="00B72A52"/>
    <w:rsid w:val="00B74D0D"/>
    <w:rsid w:val="00B75A59"/>
    <w:rsid w:val="00B83738"/>
    <w:rsid w:val="00B92B7A"/>
    <w:rsid w:val="00B936BA"/>
    <w:rsid w:val="00B93FBD"/>
    <w:rsid w:val="00B97129"/>
    <w:rsid w:val="00BA2D04"/>
    <w:rsid w:val="00BA5E1C"/>
    <w:rsid w:val="00BA5EDA"/>
    <w:rsid w:val="00BA684C"/>
    <w:rsid w:val="00BB457A"/>
    <w:rsid w:val="00BB4827"/>
    <w:rsid w:val="00BC78CF"/>
    <w:rsid w:val="00BD17DA"/>
    <w:rsid w:val="00BD48C4"/>
    <w:rsid w:val="00BD6541"/>
    <w:rsid w:val="00BD738F"/>
    <w:rsid w:val="00BE0BE9"/>
    <w:rsid w:val="00BE22B6"/>
    <w:rsid w:val="00BF14A3"/>
    <w:rsid w:val="00BF29CB"/>
    <w:rsid w:val="00BF33F7"/>
    <w:rsid w:val="00BF6DFF"/>
    <w:rsid w:val="00C00903"/>
    <w:rsid w:val="00C02CEF"/>
    <w:rsid w:val="00C05BB5"/>
    <w:rsid w:val="00C07CA9"/>
    <w:rsid w:val="00C11F54"/>
    <w:rsid w:val="00C15F89"/>
    <w:rsid w:val="00C1787E"/>
    <w:rsid w:val="00C22AF4"/>
    <w:rsid w:val="00C245B8"/>
    <w:rsid w:val="00C25734"/>
    <w:rsid w:val="00C26C5A"/>
    <w:rsid w:val="00C27EF7"/>
    <w:rsid w:val="00C31487"/>
    <w:rsid w:val="00C330D5"/>
    <w:rsid w:val="00C33EEF"/>
    <w:rsid w:val="00C34B6D"/>
    <w:rsid w:val="00C447AC"/>
    <w:rsid w:val="00C45331"/>
    <w:rsid w:val="00C53D68"/>
    <w:rsid w:val="00C5442C"/>
    <w:rsid w:val="00C607C0"/>
    <w:rsid w:val="00C62F11"/>
    <w:rsid w:val="00C7223F"/>
    <w:rsid w:val="00C72915"/>
    <w:rsid w:val="00C82113"/>
    <w:rsid w:val="00C85269"/>
    <w:rsid w:val="00C858BE"/>
    <w:rsid w:val="00C92F7E"/>
    <w:rsid w:val="00C975EA"/>
    <w:rsid w:val="00CA267C"/>
    <w:rsid w:val="00CA2C1E"/>
    <w:rsid w:val="00CA2F8B"/>
    <w:rsid w:val="00CB162A"/>
    <w:rsid w:val="00CB3C92"/>
    <w:rsid w:val="00CC2DC0"/>
    <w:rsid w:val="00CC31C4"/>
    <w:rsid w:val="00CC614A"/>
    <w:rsid w:val="00CD3CA4"/>
    <w:rsid w:val="00CD79A8"/>
    <w:rsid w:val="00CE123B"/>
    <w:rsid w:val="00CE2D1E"/>
    <w:rsid w:val="00CE77A0"/>
    <w:rsid w:val="00CF1634"/>
    <w:rsid w:val="00CF481F"/>
    <w:rsid w:val="00CF4D2F"/>
    <w:rsid w:val="00CF620B"/>
    <w:rsid w:val="00D02A08"/>
    <w:rsid w:val="00D04CF3"/>
    <w:rsid w:val="00D104F6"/>
    <w:rsid w:val="00D10A73"/>
    <w:rsid w:val="00D16A9A"/>
    <w:rsid w:val="00D17D74"/>
    <w:rsid w:val="00D224C9"/>
    <w:rsid w:val="00D30F6F"/>
    <w:rsid w:val="00D355CC"/>
    <w:rsid w:val="00D418AD"/>
    <w:rsid w:val="00D41AC1"/>
    <w:rsid w:val="00D51E3A"/>
    <w:rsid w:val="00D5235A"/>
    <w:rsid w:val="00D523ED"/>
    <w:rsid w:val="00D535EE"/>
    <w:rsid w:val="00D54D42"/>
    <w:rsid w:val="00D56567"/>
    <w:rsid w:val="00D61093"/>
    <w:rsid w:val="00D65253"/>
    <w:rsid w:val="00D67F2F"/>
    <w:rsid w:val="00D7562B"/>
    <w:rsid w:val="00D76F6E"/>
    <w:rsid w:val="00D80228"/>
    <w:rsid w:val="00D8082F"/>
    <w:rsid w:val="00D83A9F"/>
    <w:rsid w:val="00D84224"/>
    <w:rsid w:val="00D90CB3"/>
    <w:rsid w:val="00D918B8"/>
    <w:rsid w:val="00D956D6"/>
    <w:rsid w:val="00DA1F42"/>
    <w:rsid w:val="00DA3F49"/>
    <w:rsid w:val="00DA5214"/>
    <w:rsid w:val="00DC21C1"/>
    <w:rsid w:val="00DC331A"/>
    <w:rsid w:val="00DD042C"/>
    <w:rsid w:val="00DD07BD"/>
    <w:rsid w:val="00DD60E2"/>
    <w:rsid w:val="00DE08B3"/>
    <w:rsid w:val="00DE36BD"/>
    <w:rsid w:val="00DE67F4"/>
    <w:rsid w:val="00DF01D0"/>
    <w:rsid w:val="00DF28E0"/>
    <w:rsid w:val="00DF5B75"/>
    <w:rsid w:val="00DF66F0"/>
    <w:rsid w:val="00E04A87"/>
    <w:rsid w:val="00E0635A"/>
    <w:rsid w:val="00E07600"/>
    <w:rsid w:val="00E15A94"/>
    <w:rsid w:val="00E27BBF"/>
    <w:rsid w:val="00E33AB2"/>
    <w:rsid w:val="00E42658"/>
    <w:rsid w:val="00E500C5"/>
    <w:rsid w:val="00E51E85"/>
    <w:rsid w:val="00E52A20"/>
    <w:rsid w:val="00E55D1E"/>
    <w:rsid w:val="00E561D4"/>
    <w:rsid w:val="00E5668E"/>
    <w:rsid w:val="00E57029"/>
    <w:rsid w:val="00E609B5"/>
    <w:rsid w:val="00E61DE0"/>
    <w:rsid w:val="00E63122"/>
    <w:rsid w:val="00E63F06"/>
    <w:rsid w:val="00E64886"/>
    <w:rsid w:val="00E6798F"/>
    <w:rsid w:val="00E67E0B"/>
    <w:rsid w:val="00E75DD6"/>
    <w:rsid w:val="00E808A2"/>
    <w:rsid w:val="00E809E7"/>
    <w:rsid w:val="00EA6227"/>
    <w:rsid w:val="00EA73E5"/>
    <w:rsid w:val="00EB3664"/>
    <w:rsid w:val="00EB3AF7"/>
    <w:rsid w:val="00EC6B8A"/>
    <w:rsid w:val="00ED2240"/>
    <w:rsid w:val="00EE2379"/>
    <w:rsid w:val="00EE2B0A"/>
    <w:rsid w:val="00EE2C91"/>
    <w:rsid w:val="00EE3198"/>
    <w:rsid w:val="00EE31DA"/>
    <w:rsid w:val="00EE486A"/>
    <w:rsid w:val="00EE7BF7"/>
    <w:rsid w:val="00EF2CFE"/>
    <w:rsid w:val="00EF5733"/>
    <w:rsid w:val="00EF57C9"/>
    <w:rsid w:val="00F0297E"/>
    <w:rsid w:val="00F077A3"/>
    <w:rsid w:val="00F10471"/>
    <w:rsid w:val="00F112F6"/>
    <w:rsid w:val="00F150FE"/>
    <w:rsid w:val="00F158EE"/>
    <w:rsid w:val="00F312A6"/>
    <w:rsid w:val="00F32774"/>
    <w:rsid w:val="00F4047D"/>
    <w:rsid w:val="00F408A1"/>
    <w:rsid w:val="00F42045"/>
    <w:rsid w:val="00F42247"/>
    <w:rsid w:val="00F448E2"/>
    <w:rsid w:val="00F4507C"/>
    <w:rsid w:val="00F52357"/>
    <w:rsid w:val="00F5322B"/>
    <w:rsid w:val="00F536B8"/>
    <w:rsid w:val="00F56AEB"/>
    <w:rsid w:val="00F60AA3"/>
    <w:rsid w:val="00F6131B"/>
    <w:rsid w:val="00F61D17"/>
    <w:rsid w:val="00F67B2B"/>
    <w:rsid w:val="00F734B8"/>
    <w:rsid w:val="00F73A1B"/>
    <w:rsid w:val="00F7451E"/>
    <w:rsid w:val="00F7729A"/>
    <w:rsid w:val="00F77D76"/>
    <w:rsid w:val="00F80B45"/>
    <w:rsid w:val="00F862F2"/>
    <w:rsid w:val="00F9005F"/>
    <w:rsid w:val="00F910F0"/>
    <w:rsid w:val="00F954B8"/>
    <w:rsid w:val="00FA241B"/>
    <w:rsid w:val="00FA440F"/>
    <w:rsid w:val="00FB04E0"/>
    <w:rsid w:val="00FB6148"/>
    <w:rsid w:val="00FB6A14"/>
    <w:rsid w:val="00FB795E"/>
    <w:rsid w:val="00FC144A"/>
    <w:rsid w:val="00FC5406"/>
    <w:rsid w:val="00FD075D"/>
    <w:rsid w:val="00FD491E"/>
    <w:rsid w:val="00FE6719"/>
    <w:rsid w:val="00FF2385"/>
    <w:rsid w:val="00FF69EA"/>
    <w:rsid w:val="00FF6D0C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2636</TotalTime>
  <Pages>4</Pages>
  <Words>1351</Words>
  <Characters>7701</Characters>
  <Application>Microsoft Office Word</Application>
  <DocSecurity>0</DocSecurity>
  <Lines>64</Lines>
  <Paragraphs>18</Paragraphs>
  <ScaleCrop>false</ScaleCrop>
  <Company/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530</cp:revision>
  <dcterms:created xsi:type="dcterms:W3CDTF">2021-01-15T00:45:00Z</dcterms:created>
  <dcterms:modified xsi:type="dcterms:W3CDTF">2022-08-09T01:32:00Z</dcterms:modified>
</cp:coreProperties>
</file>